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1614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Élus : Fixation du nombre des adjoints au maire</w:t>
      </w:r>
    </w:p>
    <w:p w14:paraId="26F6AB0C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Élus : Fixation du montant des indemnités du maire et des adjoints</w:t>
      </w:r>
    </w:p>
    <w:p w14:paraId="600CC486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Finances : Délibération autorisant le maire à engager, liquider et mandater les dépenses d’investissement (dans la limite du quart des crédits ouverts au budget de l’exercice précédent)</w:t>
      </w:r>
    </w:p>
    <w:p w14:paraId="64DC285C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Finances : Participation communale 2025 au Syndicat Intercommunal du Collège de FAREMOUTIERS</w:t>
      </w:r>
    </w:p>
    <w:p w14:paraId="6D054FE6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Affaires scolaires : Organisation d’une classe découverte</w:t>
      </w:r>
    </w:p>
    <w:p w14:paraId="7FD71BC5" w14:textId="0039DFB0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 xml:space="preserve">Intercommunalité : Désignation du référent </w:t>
      </w:r>
      <w:proofErr w:type="spellStart"/>
      <w:r w:rsidR="00546C95" w:rsidRPr="0044183B">
        <w:rPr>
          <w:rFonts w:ascii="Aptos" w:hAnsi="Aptos"/>
          <w:smallCaps/>
          <w:spacing w:val="5"/>
        </w:rPr>
        <w:t>plui</w:t>
      </w:r>
      <w:proofErr w:type="spellEnd"/>
      <w:r w:rsidR="00546C95" w:rsidRPr="0044183B">
        <w:rPr>
          <w:rFonts w:ascii="Aptos" w:hAnsi="Aptos"/>
          <w:smallCaps/>
          <w:spacing w:val="5"/>
        </w:rPr>
        <w:t xml:space="preserve"> </w:t>
      </w:r>
      <w:r w:rsidRPr="0044183B">
        <w:rPr>
          <w:rFonts w:ascii="Aptos" w:hAnsi="Aptos"/>
          <w:smallCaps/>
          <w:spacing w:val="5"/>
        </w:rPr>
        <w:t>dans le cadre de la définition des modalités de collaboration entre la commune et la communauté d’agglomération</w:t>
      </w:r>
    </w:p>
    <w:p w14:paraId="7A514016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Intercommunalité : Modification des statuts de la communauté d’agglomération coulommiers pays de brie</w:t>
      </w:r>
    </w:p>
    <w:p w14:paraId="1A147F02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Intercommunalité : Modification du périmètre du SDESM par adhésion de la commune de DE SAINT-SOUPPLETS</w:t>
      </w:r>
    </w:p>
    <w:p w14:paraId="1F5942AD" w14:textId="77777777" w:rsidR="0044183B" w:rsidRPr="0044183B" w:rsidRDefault="0044183B" w:rsidP="0044183B">
      <w:pPr>
        <w:pStyle w:val="Paragraphedeliste"/>
        <w:numPr>
          <w:ilvl w:val="0"/>
          <w:numId w:val="1"/>
        </w:numPr>
        <w:autoSpaceDN w:val="0"/>
        <w:spacing w:after="0" w:line="360" w:lineRule="auto"/>
        <w:ind w:right="821"/>
        <w:contextualSpacing w:val="0"/>
        <w:textAlignment w:val="baseline"/>
        <w:rPr>
          <w:rFonts w:ascii="Aptos" w:hAnsi="Aptos"/>
          <w:smallCaps/>
          <w:spacing w:val="5"/>
        </w:rPr>
      </w:pPr>
      <w:r w:rsidRPr="0044183B">
        <w:rPr>
          <w:rFonts w:ascii="Aptos" w:hAnsi="Aptos"/>
          <w:smallCaps/>
          <w:spacing w:val="5"/>
        </w:rPr>
        <w:t>Intercommunalité : Retrait de la délibération N° 2024-019 portant modification des statuts du syndicat mixte d’assainissement et d’alimentation en eau potable DE CRECY-LA-CHAPELLE, BOUTIGNY ET ENVIRONS (SMAAEP DE CRECY-LA-CHAPELLE – BOUTIGNY ET ENVIRONS)</w:t>
      </w:r>
    </w:p>
    <w:p w14:paraId="2015E376" w14:textId="2150D07F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approbation du compte de gestion 2024</w:t>
      </w:r>
    </w:p>
    <w:p w14:paraId="06683F94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vote du compte administratif 2024</w:t>
      </w:r>
    </w:p>
    <w:p w14:paraId="4AC914E1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affectation du résultat</w:t>
      </w:r>
    </w:p>
    <w:p w14:paraId="6FB27B34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vote du taux des taxes 2025</w:t>
      </w:r>
    </w:p>
    <w:p w14:paraId="2D11E8E6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vote du budget 2025</w:t>
      </w:r>
    </w:p>
    <w:p w14:paraId="083D88ED" w14:textId="37A4AE5C" w:rsidR="00546C95" w:rsidRDefault="00546C95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>
        <w:rPr>
          <w:rFonts w:ascii="Aptos" w:hAnsi="Aptos"/>
          <w:spacing w:val="5"/>
        </w:rPr>
        <w:t>Finances : attribution d’une subvention au CCAS</w:t>
      </w:r>
    </w:p>
    <w:p w14:paraId="1DDF67F0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attribution de subventions aux associations</w:t>
      </w:r>
    </w:p>
    <w:p w14:paraId="0547D36E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souscription d’un forfait annuel avec la SACEM pour les évènements en musique</w:t>
      </w:r>
    </w:p>
    <w:p w14:paraId="33019F9A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Ressources humaines : modification des effectifs</w:t>
      </w:r>
    </w:p>
    <w:p w14:paraId="09290A5D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Ressources humaines : institution du temps partiel et fixation des modalités d’application</w:t>
      </w:r>
    </w:p>
    <w:p w14:paraId="4530ED0F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attribution de subventions aux associations</w:t>
      </w:r>
    </w:p>
    <w:p w14:paraId="47699C16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Finances : décision modificative n°1</w:t>
      </w:r>
    </w:p>
    <w:p w14:paraId="57DDE43B" w14:textId="77777777" w:rsid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Ressources humaines : modification du tableau des effectifs</w:t>
      </w:r>
    </w:p>
    <w:p w14:paraId="35EEBC0C" w14:textId="285ECCA7" w:rsidR="0044183B" w:rsidRPr="0044183B" w:rsidRDefault="0044183B" w:rsidP="0044183B">
      <w:pPr>
        <w:pStyle w:val="Paragraphedeliste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  <w:r w:rsidRPr="0044183B">
        <w:rPr>
          <w:rFonts w:ascii="Aptos" w:hAnsi="Aptos"/>
          <w:spacing w:val="5"/>
        </w:rPr>
        <w:t>Intercommunalité : modification du périmètre du SDESM par adhésion de la commune de Savigny-le-Temple et Quincy-Voisins.</w:t>
      </w:r>
    </w:p>
    <w:p w14:paraId="33DF2AC6" w14:textId="77777777" w:rsidR="0044183B" w:rsidRPr="0044183B" w:rsidRDefault="0044183B" w:rsidP="0044183B">
      <w:pPr>
        <w:pStyle w:val="Paragraphedeliste"/>
        <w:spacing w:line="360" w:lineRule="auto"/>
        <w:ind w:left="502" w:right="821"/>
        <w:rPr>
          <w:rFonts w:ascii="Aptos" w:hAnsi="Aptos"/>
          <w:smallCaps/>
          <w:spacing w:val="5"/>
        </w:rPr>
      </w:pPr>
    </w:p>
    <w:p w14:paraId="2D7025F4" w14:textId="77777777" w:rsidR="0044183B" w:rsidRPr="0044183B" w:rsidRDefault="0044183B" w:rsidP="0044183B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Aptos" w:hAnsi="Aptos"/>
          <w:spacing w:val="5"/>
        </w:rPr>
      </w:pPr>
    </w:p>
    <w:p w14:paraId="2162F7D0" w14:textId="77777777" w:rsidR="0044183B" w:rsidRPr="0044183B" w:rsidRDefault="0044183B" w:rsidP="0044183B">
      <w:pPr>
        <w:pStyle w:val="Paragraphedeliste"/>
        <w:spacing w:line="360" w:lineRule="auto"/>
        <w:ind w:left="502" w:right="821"/>
        <w:rPr>
          <w:rFonts w:ascii="Aptos" w:hAnsi="Aptos"/>
          <w:smallCaps/>
          <w:spacing w:val="5"/>
        </w:rPr>
      </w:pPr>
    </w:p>
    <w:p w14:paraId="56D1A7E1" w14:textId="77777777" w:rsidR="0044170B" w:rsidRPr="0044183B" w:rsidRDefault="0044170B"/>
    <w:sectPr w:rsidR="0044170B" w:rsidRPr="0044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B4F"/>
    <w:multiLevelType w:val="hybridMultilevel"/>
    <w:tmpl w:val="E83A7EC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104F3A"/>
    <w:multiLevelType w:val="hybridMultilevel"/>
    <w:tmpl w:val="E83A7ECE"/>
    <w:lvl w:ilvl="0" w:tplc="C6B258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92070406">
    <w:abstractNumId w:val="1"/>
  </w:num>
  <w:num w:numId="2" w16cid:durableId="204074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3B"/>
    <w:rsid w:val="00061D30"/>
    <w:rsid w:val="0032479E"/>
    <w:rsid w:val="0044170B"/>
    <w:rsid w:val="0044183B"/>
    <w:rsid w:val="00546C95"/>
    <w:rsid w:val="00A64F7D"/>
    <w:rsid w:val="00F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7CB8"/>
  <w15:chartTrackingRefBased/>
  <w15:docId w15:val="{62835669-1BCF-42BD-9DB2-FD79D605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1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1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1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1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1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1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1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183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183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18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18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18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18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1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183B"/>
    <w:rPr>
      <w:i/>
      <w:iCs/>
      <w:color w:val="404040" w:themeColor="text1" w:themeTint="BF"/>
    </w:rPr>
  </w:style>
  <w:style w:type="paragraph" w:styleId="Paragraphedeliste">
    <w:name w:val="List Paragraph"/>
    <w:aliases w:val="texte de base,bullet 1,Puce focus,Paragraphe de liste num,Paragraphe de liste 1,Paragraphe de liste1,Ondertekst Avida,Liste couleur - Accent 11,PADE_liste,Puces 1er niveau,List Paragraph,Trame couleur - Accent 31,calia titre 3,Listes"/>
    <w:basedOn w:val="Normal"/>
    <w:link w:val="ParagraphedelisteCar"/>
    <w:uiPriority w:val="34"/>
    <w:qFormat/>
    <w:rsid w:val="004418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183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183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183B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texte de base Car,bullet 1 Car,Puce focus Car,Paragraphe de liste num Car,Paragraphe de liste 1 Car,Paragraphe de liste1 Car,Ondertekst Avida Car,Liste couleur - Accent 11 Car,PADE_liste Car,Puces 1er niveau Car,calia titre 3 Car"/>
    <w:link w:val="Paragraphedeliste"/>
    <w:uiPriority w:val="34"/>
    <w:locked/>
    <w:rsid w:val="0044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GUERARD DGS</dc:creator>
  <cp:keywords/>
  <dc:description/>
  <cp:lastModifiedBy>MAIRIE DE GUERARD DGS</cp:lastModifiedBy>
  <cp:revision>1</cp:revision>
  <dcterms:created xsi:type="dcterms:W3CDTF">2025-08-06T10:43:00Z</dcterms:created>
  <dcterms:modified xsi:type="dcterms:W3CDTF">2025-08-06T10:56:00Z</dcterms:modified>
</cp:coreProperties>
</file>